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9F" w:rsidRPr="003D7E9F" w:rsidRDefault="004437E8" w:rsidP="003D7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качества образования школ</w:t>
      </w:r>
      <w:r w:rsidR="003D7E9F" w:rsidRPr="003D7E9F">
        <w:rPr>
          <w:rFonts w:ascii="Times New Roman" w:hAnsi="Times New Roman" w:cs="Times New Roman"/>
          <w:b/>
          <w:sz w:val="28"/>
          <w:szCs w:val="28"/>
        </w:rPr>
        <w:t>, показывающие низк</w:t>
      </w:r>
      <w:r>
        <w:rPr>
          <w:rFonts w:ascii="Times New Roman" w:hAnsi="Times New Roman" w:cs="Times New Roman"/>
          <w:b/>
          <w:sz w:val="28"/>
          <w:szCs w:val="28"/>
        </w:rPr>
        <w:t>ие результаты обучения и школ</w:t>
      </w:r>
      <w:r w:rsidR="003D7E9F" w:rsidRPr="003D7E9F">
        <w:rPr>
          <w:rFonts w:ascii="Times New Roman" w:hAnsi="Times New Roman" w:cs="Times New Roman"/>
          <w:b/>
          <w:sz w:val="28"/>
          <w:szCs w:val="28"/>
        </w:rPr>
        <w:t>, функционирующих в неблагоприятных социальных условиях</w:t>
      </w:r>
    </w:p>
    <w:p w:rsidR="003D7E9F" w:rsidRPr="003D7E9F" w:rsidRDefault="003D7E9F" w:rsidP="00771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</w:t>
      </w:r>
      <w:r w:rsidRPr="003D7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Pr="003D7E9F">
        <w:rPr>
          <w:rFonts w:ascii="Times New Roman" w:hAnsi="Times New Roman" w:cs="Times New Roman"/>
          <w:sz w:val="28"/>
          <w:szCs w:val="28"/>
        </w:rPr>
        <w:t xml:space="preserve">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Тулунского района показал, что </w:t>
      </w:r>
      <w:r w:rsidRPr="003D7E9F">
        <w:rPr>
          <w:rFonts w:ascii="Times New Roman" w:hAnsi="Times New Roman" w:cs="Times New Roman"/>
          <w:sz w:val="28"/>
          <w:szCs w:val="28"/>
        </w:rPr>
        <w:t xml:space="preserve">работу осуществляют 54 образовательных организации, из них: 31 школа, в том числе: 19 средних, 10 - основных; 2 – начальные и 23 детских сада. </w:t>
      </w:r>
    </w:p>
    <w:p w:rsidR="00CF22C5" w:rsidRPr="003D7E9F" w:rsidRDefault="003D7E9F" w:rsidP="003D7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 xml:space="preserve">В школах обучаются 3362 ребёнка. </w:t>
      </w:r>
    </w:p>
    <w:p w:rsidR="003D7E9F" w:rsidRDefault="003D7E9F" w:rsidP="00771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 xml:space="preserve">Анализ ГИА в 9 классах показывает, что в течение трёх лет происходит снижение доли выпускников, получивших документы об образовании в основной период проведения ГИА.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62"/>
      </w:tblGrid>
      <w:tr w:rsidR="003D7E9F" w:rsidTr="004807CC">
        <w:trPr>
          <w:jc w:val="center"/>
        </w:trPr>
        <w:tc>
          <w:tcPr>
            <w:tcW w:w="10456" w:type="dxa"/>
            <w:gridSpan w:val="2"/>
          </w:tcPr>
          <w:p w:rsidR="003D7E9F" w:rsidRPr="003D7E9F" w:rsidRDefault="003D7E9F" w:rsidP="003D7E9F">
            <w:pPr>
              <w:pStyle w:val="a3"/>
              <w:spacing w:before="0" w:beforeAutospacing="0" w:after="0" w:afterAutospacing="0"/>
              <w:jc w:val="center"/>
            </w:pPr>
            <w:r w:rsidRPr="003D7E9F">
              <w:rPr>
                <w:rFonts w:eastAsiaTheme="minorEastAsia"/>
                <w:b/>
                <w:bCs/>
                <w:color w:val="FF0000"/>
                <w:kern w:val="24"/>
              </w:rPr>
              <w:t>Результаты ОГЭ в 9-х классах</w:t>
            </w:r>
          </w:p>
          <w:p w:rsidR="003D7E9F" w:rsidRPr="003D7E9F" w:rsidRDefault="003D7E9F" w:rsidP="003D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9F" w:rsidTr="004807CC">
        <w:trPr>
          <w:jc w:val="center"/>
        </w:trPr>
        <w:tc>
          <w:tcPr>
            <w:tcW w:w="5242" w:type="dxa"/>
          </w:tcPr>
          <w:p w:rsidR="003D7E9F" w:rsidRDefault="003D7E9F" w:rsidP="003D7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DA1543" wp14:editId="726E82E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210185</wp:posOffset>
                  </wp:positionV>
                  <wp:extent cx="328612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537" y="21449"/>
                      <wp:lineTo x="2153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8" t="7854" r="8437" b="17278"/>
                          <a:stretch/>
                        </pic:blipFill>
                        <pic:spPr bwMode="auto">
                          <a:xfrm>
                            <a:off x="0" y="0"/>
                            <a:ext cx="3286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4" w:type="dxa"/>
          </w:tcPr>
          <w:p w:rsidR="003D7E9F" w:rsidRDefault="003D7E9F" w:rsidP="003D7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FC293">
                  <wp:extent cx="3332976" cy="152400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9" r="8936" b="17737"/>
                          <a:stretch/>
                        </pic:blipFill>
                        <pic:spPr bwMode="auto">
                          <a:xfrm>
                            <a:off x="0" y="0"/>
                            <a:ext cx="3362043" cy="153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E9F" w:rsidTr="004807CC">
        <w:trPr>
          <w:jc w:val="center"/>
        </w:trPr>
        <w:tc>
          <w:tcPr>
            <w:tcW w:w="5242" w:type="dxa"/>
          </w:tcPr>
          <w:p w:rsidR="003D7E9F" w:rsidRPr="003D7E9F" w:rsidRDefault="003D7E9F" w:rsidP="003D7E9F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3D7E9F">
              <w:rPr>
                <w:noProof/>
              </w:rPr>
              <w:t>Динамика качества и успеваемости по математике</w:t>
            </w:r>
          </w:p>
        </w:tc>
        <w:tc>
          <w:tcPr>
            <w:tcW w:w="5214" w:type="dxa"/>
          </w:tcPr>
          <w:p w:rsidR="003D7E9F" w:rsidRPr="003D7E9F" w:rsidRDefault="003D7E9F" w:rsidP="003D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9F">
              <w:rPr>
                <w:rFonts w:ascii="Times New Roman" w:hAnsi="Times New Roman" w:cs="Times New Roman"/>
                <w:sz w:val="24"/>
                <w:szCs w:val="24"/>
              </w:rPr>
              <w:t>Динамика качества и успеваемости по русскому языку</w:t>
            </w:r>
          </w:p>
        </w:tc>
      </w:tr>
    </w:tbl>
    <w:p w:rsidR="003D7E9F" w:rsidRDefault="003D7E9F" w:rsidP="003D7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9F" w:rsidRPr="003D7E9F" w:rsidRDefault="003D7E9F" w:rsidP="00771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Так, в 2019 году из 263 выпускников 9 классов получили аттестат об основном общем образовании – 191 человек (72,6%) (в 2018 году - 263 (99,2%), 71 человек (27,4%) оставлены на повторное обучение в 9 классе, из них 68 человек (95,8%) по индивидуальному учебному плану.</w:t>
      </w:r>
    </w:p>
    <w:p w:rsidR="004807CC" w:rsidRDefault="003D7E9F" w:rsidP="00771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В 11-х классах по русскому языку на протяжении трех лет результаты стабильно высокие (в 2017 и 2019 году – 100%, в 2018 году – 99,1%), что выше региональных показателей.  По математике прослеживается снижение показателей по успеваемости от 98,9% в 2017 году до 89,8% в 2019 году. В 2019 году по результатам проведения ГИА из 108 выпускников получили аттестат о среднем общем образовании 101 человек.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091"/>
      </w:tblGrid>
      <w:tr w:rsidR="004807CC" w:rsidTr="004807CC">
        <w:tc>
          <w:tcPr>
            <w:tcW w:w="10456" w:type="dxa"/>
            <w:gridSpan w:val="2"/>
          </w:tcPr>
          <w:p w:rsidR="004807CC" w:rsidRPr="004807CC" w:rsidRDefault="004807CC" w:rsidP="00480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7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Результаты ЕГЭ в 11-х классах</w:t>
            </w:r>
          </w:p>
        </w:tc>
      </w:tr>
      <w:tr w:rsidR="004807CC" w:rsidTr="004807CC">
        <w:tc>
          <w:tcPr>
            <w:tcW w:w="5369" w:type="dxa"/>
          </w:tcPr>
          <w:p w:rsidR="004807CC" w:rsidRDefault="004807CC" w:rsidP="003D7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A481A3">
                  <wp:extent cx="3295650" cy="1120763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6" t="6881" r="7089" b="18241"/>
                          <a:stretch/>
                        </pic:blipFill>
                        <pic:spPr bwMode="auto">
                          <a:xfrm>
                            <a:off x="0" y="0"/>
                            <a:ext cx="3337917" cy="113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</w:tcPr>
          <w:p w:rsidR="004807CC" w:rsidRDefault="004807CC" w:rsidP="003D7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09CFF">
                  <wp:extent cx="3114675" cy="1556941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9" t="5557" r="6920" b="12500"/>
                          <a:stretch/>
                        </pic:blipFill>
                        <pic:spPr bwMode="auto">
                          <a:xfrm>
                            <a:off x="0" y="0"/>
                            <a:ext cx="3145888" cy="157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7CC" w:rsidTr="004807CC">
        <w:tc>
          <w:tcPr>
            <w:tcW w:w="5369" w:type="dxa"/>
          </w:tcPr>
          <w:p w:rsidR="004807CC" w:rsidRPr="004807CC" w:rsidRDefault="004807CC" w:rsidP="0048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Результаты ЕГЭ по русскому языку</w:t>
            </w:r>
          </w:p>
        </w:tc>
        <w:tc>
          <w:tcPr>
            <w:tcW w:w="5087" w:type="dxa"/>
          </w:tcPr>
          <w:p w:rsidR="004807CC" w:rsidRPr="004807CC" w:rsidRDefault="004807CC" w:rsidP="0048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Результаты ЕГЭ по математике</w:t>
            </w:r>
          </w:p>
          <w:p w:rsidR="004807CC" w:rsidRPr="004807CC" w:rsidRDefault="004807CC" w:rsidP="0048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</w:tr>
    </w:tbl>
    <w:p w:rsidR="004807CC" w:rsidRPr="003D7E9F" w:rsidRDefault="004807CC" w:rsidP="003D7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3C2" w:rsidRDefault="0077155B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E9F" w:rsidRPr="003D7E9F">
        <w:rPr>
          <w:rFonts w:ascii="Times New Roman" w:hAnsi="Times New Roman" w:cs="Times New Roman"/>
          <w:sz w:val="28"/>
          <w:szCs w:val="28"/>
        </w:rPr>
        <w:t xml:space="preserve">Сравнительный анализ итоговой аттестации за три последних года по русскому языку и математике в 9-х-11-х классах и результатов ВПР за 2 года по русскому языку </w:t>
      </w:r>
      <w:r w:rsidR="003D7E9F" w:rsidRPr="003D7E9F">
        <w:rPr>
          <w:rFonts w:ascii="Times New Roman" w:hAnsi="Times New Roman" w:cs="Times New Roman"/>
          <w:sz w:val="28"/>
          <w:szCs w:val="28"/>
        </w:rPr>
        <w:lastRenderedPageBreak/>
        <w:t>и математике в 5-6-х классах показывает отсутствие или снижение положительной динамики результатов в следующих школах: МОУ «Афанасьевская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Бадарская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Будаговская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Гуранская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Котикская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Перфиловская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Сибиряковская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ООШ»,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ООШ», МОУ «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Усть-Кульская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ООШ». Данные школы вошли в муниципальную контрольную группу школ с низкими результатами и   практически совпали со списком, сформированным Федеральной службой по надзору в сфере образования и науки. 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Котикская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средняя школа улучшила свои результаты по аналитическим данным 2019 года, но не вошла в более высокий </w:t>
      </w:r>
      <w:proofErr w:type="spellStart"/>
      <w:r w:rsidR="003D7E9F" w:rsidRPr="003D7E9F">
        <w:rPr>
          <w:rFonts w:ascii="Times New Roman" w:hAnsi="Times New Roman" w:cs="Times New Roman"/>
          <w:sz w:val="28"/>
          <w:szCs w:val="28"/>
        </w:rPr>
        <w:t>квинтель</w:t>
      </w:r>
      <w:proofErr w:type="spellEnd"/>
      <w:r w:rsidR="003D7E9F" w:rsidRPr="003D7E9F">
        <w:rPr>
          <w:rFonts w:ascii="Times New Roman" w:hAnsi="Times New Roman" w:cs="Times New Roman"/>
          <w:sz w:val="28"/>
          <w:szCs w:val="28"/>
        </w:rPr>
        <w:t xml:space="preserve"> из-за неблагоприятных социальных условий. В настоящее время она является базовой опорной площадкой.</w:t>
      </w:r>
      <w:r w:rsidR="00CE2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Для проведения анализа школьных программ (планов, дорожных карт) по повышению качества образования в школах, показывающие низкие образовательные результаты и школах, работающие в неблагоприятных социальных условиях были представлены материалы 9 школ (29 %):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1.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Бадарская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2.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Будаговская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3.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Гуранская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4.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Перфиловская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5.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6.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Сибиряковская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7. МОУ «Афанасьевская СОШ»;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8. 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Представленные материалы разнообразны по структуре, по содержанию, по направлениям деятельности.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 xml:space="preserve">МОУ «Афанасьевская СОШ» </w:t>
      </w:r>
      <w:r w:rsidRPr="003E43C2">
        <w:rPr>
          <w:rFonts w:ascii="Times New Roman" w:hAnsi="Times New Roman" w:cs="Times New Roman"/>
          <w:sz w:val="28"/>
          <w:szCs w:val="28"/>
        </w:rPr>
        <w:t>- представлен «План мероприятий, направленных в 2019-2020 учебном году на повышение качества образовательной деятельности».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 xml:space="preserve"> План содержит конкретные мероприятия, сроки и результаты. Определены ответственные за выполнение.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Все мероприятия запланированы по направлениям: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1. Организационно-управленческие мероприятия, направленные на повышение качества образования.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2. Мероприятия, направленные на профессиональное развитие руководящих и педагогических работников.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3. Мероприятия, направленные на совершенствование внутренней системы оценки качества образования.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b/>
          <w:sz w:val="28"/>
          <w:szCs w:val="28"/>
        </w:rPr>
        <w:t>Бадарская</w:t>
      </w:r>
      <w:proofErr w:type="spellEnd"/>
      <w:r w:rsidRPr="003E43C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3E43C2">
        <w:rPr>
          <w:rFonts w:ascii="Times New Roman" w:hAnsi="Times New Roman" w:cs="Times New Roman"/>
          <w:sz w:val="28"/>
          <w:szCs w:val="28"/>
        </w:rPr>
        <w:t xml:space="preserve"> – представлен План мероприятий («дорожная карта») по подготовке к государственной (итоговой) аттестации. Дорожная карта состоит из 4-х разделов: «Нормативное и ресурсное обеспечение», «Кадры», «Организация. Управление. Контроль.», «Информационное обеспечение». 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Карта содержит мероприятия, сроки реализации, ответственных исполнителей.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Будаговская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СОШ» - представлен план мероприятий по повышению качества образования на 2019 – 2020 учебный год.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lastRenderedPageBreak/>
        <w:t>Мероприятия запланированы по направлениям: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1.</w:t>
      </w:r>
      <w:r w:rsidRPr="003E43C2">
        <w:rPr>
          <w:rFonts w:ascii="Times New Roman" w:hAnsi="Times New Roman" w:cs="Times New Roman"/>
          <w:sz w:val="28"/>
          <w:szCs w:val="28"/>
        </w:rPr>
        <w:tab/>
        <w:t xml:space="preserve"> Организационная деятельность.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2.</w:t>
      </w:r>
      <w:r w:rsidRPr="003E43C2">
        <w:rPr>
          <w:rFonts w:ascii="Times New Roman" w:hAnsi="Times New Roman" w:cs="Times New Roman"/>
          <w:sz w:val="28"/>
          <w:szCs w:val="28"/>
        </w:rPr>
        <w:tab/>
        <w:t>Методическая работа. Работа с кадрами.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3.</w:t>
      </w:r>
      <w:r w:rsidRPr="003E43C2">
        <w:rPr>
          <w:rFonts w:ascii="Times New Roman" w:hAnsi="Times New Roman" w:cs="Times New Roman"/>
          <w:sz w:val="28"/>
          <w:szCs w:val="28"/>
        </w:rPr>
        <w:tab/>
        <w:t xml:space="preserve">Информационно-аналитическая деятельность. 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4.</w:t>
      </w:r>
      <w:r w:rsidRPr="003E43C2">
        <w:rPr>
          <w:rFonts w:ascii="Times New Roman" w:hAnsi="Times New Roman" w:cs="Times New Roman"/>
          <w:sz w:val="28"/>
          <w:szCs w:val="28"/>
        </w:rPr>
        <w:tab/>
        <w:t>Контрольно-диагностическая и коррекционная деятельность.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План содержит мероприятия, сроки реализации, определены ответственные исполнители.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b/>
          <w:sz w:val="28"/>
          <w:szCs w:val="28"/>
        </w:rPr>
        <w:t>Гуранская</w:t>
      </w:r>
      <w:proofErr w:type="spellEnd"/>
      <w:r w:rsidRPr="003E43C2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Pr="003E43C2">
        <w:rPr>
          <w:rFonts w:ascii="Times New Roman" w:hAnsi="Times New Roman" w:cs="Times New Roman"/>
          <w:sz w:val="28"/>
          <w:szCs w:val="28"/>
        </w:rPr>
        <w:t>-  представлена программа повышения качества образования. Проведена серьезная аналитическая работа, которая позволила выделить проблемы в образовательной подготовке школьников, проанализированы причины возникновения проблем, определить цели и задачи, а также направления реализации программы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b/>
          <w:sz w:val="28"/>
          <w:szCs w:val="28"/>
        </w:rPr>
        <w:t>Перфиловская</w:t>
      </w:r>
      <w:proofErr w:type="spellEnd"/>
      <w:r w:rsidRPr="003E43C2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3E43C2">
        <w:rPr>
          <w:rFonts w:ascii="Times New Roman" w:hAnsi="Times New Roman" w:cs="Times New Roman"/>
          <w:sz w:val="28"/>
          <w:szCs w:val="28"/>
        </w:rPr>
        <w:t xml:space="preserve"> - представлен план мероприятий, направленных на повышение качества образования на 2019 - 2020 учебный год. 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Мероприятия запланированы по направлениям: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1. Методическая помощь учителям-предметникам;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2. Организация помощи выпускникам в подготовке к ГИА-2020;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3. Информирование родителей выпускников о ГИА-2020.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 xml:space="preserve">Плане представлены мероприятия, сроки реализации, ответственные исполнители и результат. 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b/>
          <w:sz w:val="28"/>
          <w:szCs w:val="28"/>
        </w:rPr>
        <w:t>Сибиряковская</w:t>
      </w:r>
      <w:proofErr w:type="spellEnd"/>
      <w:r w:rsidRPr="003E43C2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3E43C2">
        <w:rPr>
          <w:rFonts w:ascii="Times New Roman" w:hAnsi="Times New Roman" w:cs="Times New Roman"/>
          <w:sz w:val="28"/>
          <w:szCs w:val="28"/>
        </w:rPr>
        <w:t xml:space="preserve"> - представлена программа повышения качества образования.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 xml:space="preserve">В содержании Программы выделены 4 раздела: 1 раздел - «Обеспечение деятельности ОО на современном уровне»; 2 раздел - «Организация учебной деятельности»; 3 раздел - «Организация системы воспитательной работы»; 4 раздел – «Формирование эффективных механизмов управления на принципах коллегиальности», но в плане мероприятий по реализации Программы повышения качества образования прописаны другие разделы: Повышение качества преподавания, освоение новых педагогических технологий; Развитие инструментов самооценки, мониторинга, диагностики образовательного процесса и результатов; Развитие управления и лидерства ; Повышение учебной мотивации, коррекция моделей поведения учеников; Развитие взаимодействия с родителями; Изменение содержания образования; Социальное партнерство и сетевое взаимодействие. В плане программы указаны мероприятия, сроки реализации, ответственные, ожидаемые результаты.   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b/>
          <w:sz w:val="28"/>
          <w:szCs w:val="28"/>
        </w:rPr>
        <w:t>Усть-Кульская</w:t>
      </w:r>
      <w:proofErr w:type="spellEnd"/>
      <w:r w:rsidRPr="003E43C2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3E43C2">
        <w:rPr>
          <w:rFonts w:ascii="Times New Roman" w:hAnsi="Times New Roman" w:cs="Times New Roman"/>
          <w:sz w:val="28"/>
          <w:szCs w:val="28"/>
        </w:rPr>
        <w:t xml:space="preserve"> -  представлен план мероприятий, по повышению качества образования. 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Мероприятия запланированы по следующим направлениям: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1.</w:t>
      </w:r>
      <w:r w:rsidRPr="003E43C2">
        <w:rPr>
          <w:rFonts w:ascii="Times New Roman" w:hAnsi="Times New Roman" w:cs="Times New Roman"/>
          <w:sz w:val="28"/>
          <w:szCs w:val="28"/>
        </w:rPr>
        <w:tab/>
        <w:t>Совершенствование управления в системе образования по повышению качества и результативности деятельности школы, показывающей устойчиво низкие результаты.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2. Мероприятия по разработке и мониторингу качества и эффективности реализации образовательных программ.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3. Мероприятия по разработке и мониторингу качества и эффективности реализации образовательных программ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lastRenderedPageBreak/>
        <w:t>4. Развитие кадрового потенциала руководящих и педагогических работников общеобразовательных организаций.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5. Совершенствование и развитие психолого-педагогического сопровождения обучающихся и их семей в школе, показывающей устойчиво низкие результаты.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 xml:space="preserve">6. Совершенствование воспитательной работы через укрепление взаимодействия школы с родителями, </w:t>
      </w:r>
      <w:proofErr w:type="spellStart"/>
      <w:r w:rsidRPr="003E43C2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E43C2">
        <w:rPr>
          <w:rFonts w:ascii="Times New Roman" w:hAnsi="Times New Roman" w:cs="Times New Roman"/>
          <w:sz w:val="28"/>
          <w:szCs w:val="28"/>
        </w:rPr>
        <w:t xml:space="preserve"> - культурными организациями, хозяйственными предприятиями, местным сообществом по повышению качества деятельности школы.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7. Сокращение разрыва в результатах обученности между общеобразовательными организациями с наиболее высокими и наиболее низкими образовательными результатами.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План работы включает мероприятия, назначены ответственные за эти мероприятия, определены сроки проведения и их результаты.</w:t>
      </w:r>
    </w:p>
    <w:p w:rsidR="003E43C2" w:rsidRPr="003E43C2" w:rsidRDefault="003E43C2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E43C2">
        <w:rPr>
          <w:rFonts w:ascii="Times New Roman" w:hAnsi="Times New Roman" w:cs="Times New Roman"/>
          <w:b/>
          <w:sz w:val="28"/>
          <w:szCs w:val="28"/>
        </w:rPr>
        <w:t>Шерагульская</w:t>
      </w:r>
      <w:proofErr w:type="spellEnd"/>
      <w:r w:rsidRPr="003E43C2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3E43C2">
        <w:rPr>
          <w:rFonts w:ascii="Times New Roman" w:hAnsi="Times New Roman" w:cs="Times New Roman"/>
          <w:sz w:val="28"/>
          <w:szCs w:val="28"/>
        </w:rPr>
        <w:t xml:space="preserve"> - представлен План мероприятий по повышению качества образования на 2019-2020 учебный год.     Анализ результатов государственной итоговой аттестации, успеваемости учащихся по итогам 2018-2019 года выявил проблемы, в соответствии с которыми школа определила цель и задачи, а также основные направления работы по повышению качества образования: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1.</w:t>
      </w:r>
      <w:r w:rsidRPr="003E43C2">
        <w:rPr>
          <w:rFonts w:ascii="Times New Roman" w:hAnsi="Times New Roman" w:cs="Times New Roman"/>
          <w:sz w:val="28"/>
          <w:szCs w:val="28"/>
        </w:rPr>
        <w:tab/>
        <w:t>Аналитические и организационные мероприятия.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2.</w:t>
      </w:r>
      <w:r w:rsidRPr="003E43C2">
        <w:rPr>
          <w:rFonts w:ascii="Times New Roman" w:hAnsi="Times New Roman" w:cs="Times New Roman"/>
          <w:sz w:val="28"/>
          <w:szCs w:val="28"/>
        </w:rPr>
        <w:tab/>
        <w:t>Работа с обучающимися.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3.</w:t>
      </w:r>
      <w:r w:rsidRPr="003E43C2">
        <w:rPr>
          <w:rFonts w:ascii="Times New Roman" w:hAnsi="Times New Roman" w:cs="Times New Roman"/>
          <w:sz w:val="28"/>
          <w:szCs w:val="28"/>
        </w:rPr>
        <w:tab/>
        <w:t>Работа с родителями обучающихся.</w:t>
      </w:r>
    </w:p>
    <w:p w:rsidR="003E43C2" w:rsidRPr="003E43C2" w:rsidRDefault="003E43C2" w:rsidP="003E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4.</w:t>
      </w:r>
      <w:r w:rsidRPr="003E43C2">
        <w:rPr>
          <w:rFonts w:ascii="Times New Roman" w:hAnsi="Times New Roman" w:cs="Times New Roman"/>
          <w:sz w:val="28"/>
          <w:szCs w:val="28"/>
        </w:rPr>
        <w:tab/>
        <w:t>Работа с педагогическими кадрами.</w:t>
      </w:r>
    </w:p>
    <w:p w:rsidR="003E43C2" w:rsidRDefault="003E43C2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3C2">
        <w:rPr>
          <w:rFonts w:ascii="Times New Roman" w:hAnsi="Times New Roman" w:cs="Times New Roman"/>
          <w:sz w:val="28"/>
          <w:szCs w:val="28"/>
        </w:rPr>
        <w:t>Представленные программы (планы, дорожные карты) позволяют сделать вывод, что в целом в районе ведется работа, направленная на повышение качества образовательных результатов, но необходимо провести оценку запланированных мероприятий с целью корректировки работы с педагогами и детьми, так как обучающиеся по-прежнему показываю низкие образовательные результаты. Вместе с тем необходимо учитывать при разработке любого документа, работающего на повышение качества образования, что «Качество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происходит образовательная деятельность, в том числе степень достижения планируемых результатов образовательной программы (ст.2. п.29. Закон "Об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Федерации").</w:t>
      </w:r>
    </w:p>
    <w:p w:rsidR="00335B6E" w:rsidRDefault="00335B6E" w:rsidP="003E4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Анализ результатов анкетирования</w:t>
      </w:r>
      <w:r w:rsidRPr="00335B6E"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из школ с низкими результатами обучения и школ, функционирующих в неблагоприятных социальных условиях на</w:t>
      </w:r>
      <w:r w:rsidRPr="00335B6E">
        <w:rPr>
          <w:rFonts w:ascii="Times New Roman" w:hAnsi="Times New Roman" w:cs="Times New Roman"/>
          <w:sz w:val="28"/>
          <w:szCs w:val="28"/>
        </w:rPr>
        <w:t xml:space="preserve"> предмет выявления профессиональных затруднений в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показал следующее.</w:t>
      </w:r>
    </w:p>
    <w:p w:rsidR="00335B6E" w:rsidRPr="00335B6E" w:rsidRDefault="00335B6E" w:rsidP="00335B6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i/>
          <w:sz w:val="28"/>
          <w:szCs w:val="28"/>
        </w:rPr>
        <w:t>Наибольшие затруднения (имеется явная степень затруднения) при организации учебного процесса возникают у педагогов по следующим пунктам: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 xml:space="preserve">Тематическое планирование - </w:t>
      </w:r>
      <w:r w:rsidRPr="00335B6E">
        <w:rPr>
          <w:rFonts w:ascii="Times New Roman" w:eastAsia="Times New Roman" w:hAnsi="Times New Roman" w:cs="Times New Roman"/>
          <w:sz w:val="28"/>
          <w:szCs w:val="28"/>
        </w:rPr>
        <w:t>8 чел./4,8%;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/>
          <w:b/>
          <w:i/>
          <w:sz w:val="28"/>
          <w:szCs w:val="28"/>
        </w:rPr>
        <w:t>Овладение содержанием новых программ и учебников -</w:t>
      </w: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</w:rPr>
        <w:t>17чел./10,1%;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/>
          <w:b/>
          <w:i/>
          <w:sz w:val="28"/>
          <w:szCs w:val="28"/>
        </w:rPr>
        <w:t>Умение провести самоанализ урока -</w:t>
      </w: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</w:rPr>
        <w:t>21чел./12,5%;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/>
          <w:b/>
          <w:i/>
          <w:sz w:val="28"/>
          <w:szCs w:val="28"/>
        </w:rPr>
        <w:t>Осуществление дифференцированного подхода к обучению -18 чел./10,7%;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самообразования и повышение педагогического мастерства – </w:t>
      </w:r>
      <w:r w:rsidRPr="00335B6E">
        <w:rPr>
          <w:rFonts w:ascii="Times New Roman" w:eastAsia="Times New Roman" w:hAnsi="Times New Roman" w:cs="Times New Roman"/>
          <w:sz w:val="28"/>
          <w:szCs w:val="28"/>
        </w:rPr>
        <w:t>8 чел. /4,8%;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 xml:space="preserve">Развитие у обучающихся интереса к предмету, повышение мотивации – </w:t>
      </w:r>
      <w:r w:rsidRPr="00335B6E">
        <w:rPr>
          <w:rFonts w:ascii="Times New Roman" w:eastAsia="Times New Roman" w:hAnsi="Times New Roman" w:cs="Times New Roman"/>
          <w:sz w:val="28"/>
          <w:szCs w:val="28"/>
        </w:rPr>
        <w:t>13 чел./7,7%;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/>
          <w:b/>
          <w:i/>
          <w:sz w:val="28"/>
          <w:szCs w:val="28"/>
        </w:rPr>
        <w:t xml:space="preserve">Описание своего опыта работы – </w:t>
      </w: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</w:rPr>
        <w:t>39 чел. /23,3%;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/>
          <w:b/>
          <w:i/>
          <w:sz w:val="28"/>
          <w:szCs w:val="28"/>
        </w:rPr>
        <w:t xml:space="preserve">Умение провести анализ урока коллеги – </w:t>
      </w: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</w:rPr>
        <w:t>23 чел./13,7%;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Учет, оценка знаний, умений и навыков учащихся -</w:t>
      </w:r>
      <w:r w:rsidRPr="00335B6E">
        <w:rPr>
          <w:rFonts w:ascii="Times New Roman" w:eastAsia="Times New Roman" w:hAnsi="Times New Roman" w:cs="Times New Roman"/>
          <w:sz w:val="28"/>
          <w:szCs w:val="28"/>
        </w:rPr>
        <w:t>13 чел./7,7%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 w:cs="Times New Roman"/>
          <w:b/>
          <w:i/>
          <w:sz w:val="28"/>
          <w:szCs w:val="28"/>
        </w:rPr>
        <w:t>Работа с неуспевающими учащимися -14 чел. /8,3%;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 xml:space="preserve"> Работа с одаренными детьми -</w:t>
      </w:r>
      <w:r w:rsidRPr="00335B6E">
        <w:rPr>
          <w:rFonts w:ascii="Times New Roman" w:hAnsi="Times New Roman" w:cs="Times New Roman"/>
          <w:b/>
          <w:i/>
          <w:sz w:val="28"/>
          <w:szCs w:val="28"/>
        </w:rPr>
        <w:t>15 чел./8,9%;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/>
          <w:b/>
          <w:i/>
          <w:sz w:val="28"/>
          <w:szCs w:val="28"/>
        </w:rPr>
        <w:t>Организация индивидуального сопровождения обучающихся, составление ИОМ -44 чел. /26,3%;</w:t>
      </w:r>
    </w:p>
    <w:p w:rsidR="00335B6E" w:rsidRPr="00335B6E" w:rsidRDefault="00335B6E" w:rsidP="00335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Составление программы по учебному предмету -</w:t>
      </w:r>
      <w:r w:rsidRPr="00335B6E">
        <w:rPr>
          <w:rFonts w:ascii="Times New Roman" w:eastAsia="Times New Roman" w:hAnsi="Times New Roman" w:cs="Times New Roman"/>
          <w:sz w:val="28"/>
          <w:szCs w:val="28"/>
        </w:rPr>
        <w:t xml:space="preserve">13 чел./7,7%. </w:t>
      </w:r>
    </w:p>
    <w:p w:rsidR="00335B6E" w:rsidRPr="00C54164" w:rsidRDefault="00335B6E" w:rsidP="00335B6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B6E" w:rsidRPr="00C54164" w:rsidRDefault="00335B6E" w:rsidP="00335B6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4164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164">
        <w:rPr>
          <w:rFonts w:ascii="Times New Roman" w:hAnsi="Times New Roman" w:cs="Times New Roman"/>
          <w:sz w:val="24"/>
          <w:szCs w:val="24"/>
        </w:rPr>
        <w:t xml:space="preserve"> «Затруднения педагогов при организации учебного процесса»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1134"/>
        <w:gridCol w:w="992"/>
        <w:gridCol w:w="1134"/>
      </w:tblGrid>
      <w:tr w:rsidR="00335B6E" w:rsidRPr="00C54164" w:rsidTr="000E38A1">
        <w:trPr>
          <w:trHeight w:val="266"/>
        </w:trPr>
        <w:tc>
          <w:tcPr>
            <w:tcW w:w="6238" w:type="dxa"/>
            <w:vMerge w:val="restart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C54164" w:rsidRDefault="00335B6E" w:rsidP="000E3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</w:t>
            </w:r>
            <w:r w:rsidRPr="00C97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процесс</w:t>
            </w:r>
          </w:p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C54164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Степень затруднения </w:t>
            </w:r>
          </w:p>
        </w:tc>
      </w:tr>
      <w:tr w:rsidR="00335B6E" w:rsidRPr="00C54164" w:rsidTr="000E38A1">
        <w:trPr>
          <w:cantSplit/>
          <w:trHeight w:val="1134"/>
        </w:trPr>
        <w:tc>
          <w:tcPr>
            <w:tcW w:w="6238" w:type="dxa"/>
            <w:vMerge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Очень сильная </w:t>
            </w:r>
          </w:p>
        </w:tc>
        <w:tc>
          <w:tcPr>
            <w:tcW w:w="1134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Сильная степень </w:t>
            </w:r>
          </w:p>
        </w:tc>
        <w:tc>
          <w:tcPr>
            <w:tcW w:w="992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степень</w:t>
            </w:r>
          </w:p>
        </w:tc>
        <w:tc>
          <w:tcPr>
            <w:tcW w:w="1134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затруднений </w:t>
            </w:r>
          </w:p>
        </w:tc>
      </w:tr>
      <w:tr w:rsidR="00335B6E" w:rsidRPr="00603231" w:rsidTr="000E38A1">
        <w:trPr>
          <w:trHeight w:val="263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8/4,8%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/21,5%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/73,6%</w:t>
            </w:r>
          </w:p>
        </w:tc>
      </w:tr>
      <w:tr w:rsidR="00335B6E" w:rsidRPr="00603231" w:rsidTr="000E38A1">
        <w:trPr>
          <w:trHeight w:val="253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Поурочное планирование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/24,5%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/71,8%</w:t>
            </w:r>
          </w:p>
        </w:tc>
      </w:tr>
      <w:tr w:rsidR="00335B6E" w:rsidRPr="00603231" w:rsidTr="000E38A1">
        <w:trPr>
          <w:trHeight w:val="285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Планирование самообразования и повышение педагогического мастерства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8/4,8%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/45,5%</w:t>
            </w:r>
          </w:p>
        </w:tc>
      </w:tr>
      <w:tr w:rsidR="00335B6E" w:rsidRPr="00603231" w:rsidTr="000E38A1">
        <w:trPr>
          <w:trHeight w:val="250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Овладение содержанием новых программ и учебников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17/10,1%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/37,7%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/52%</w:t>
            </w:r>
          </w:p>
        </w:tc>
      </w:tr>
      <w:tr w:rsidR="00335B6E" w:rsidRPr="00603231" w:rsidTr="000E38A1">
        <w:trPr>
          <w:trHeight w:val="193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Умение ставить цели урока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3/1,8%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/33,5%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/64,6%</w:t>
            </w:r>
          </w:p>
        </w:tc>
      </w:tr>
      <w:tr w:rsidR="00335B6E" w:rsidRPr="00603231" w:rsidTr="000E38A1">
        <w:trPr>
          <w:trHeight w:val="70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Умение отработать содержание материала к уроку в соответствии с поставленной задачей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7/4,2%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/44,9%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/50,8%</w:t>
            </w:r>
          </w:p>
        </w:tc>
      </w:tr>
      <w:tr w:rsidR="00335B6E" w:rsidRPr="00603231" w:rsidTr="000E38A1">
        <w:trPr>
          <w:trHeight w:val="22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Использование эффективных форм на уроке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/43,1%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/53,8%</w:t>
            </w:r>
          </w:p>
        </w:tc>
      </w:tr>
      <w:tr w:rsidR="00335B6E" w:rsidRPr="00603231" w:rsidTr="000E38A1">
        <w:trPr>
          <w:trHeight w:val="247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Использование элементов современных педагогических технологий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/46,7%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/50,3%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Умение провести самоанализ урока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21/12,5%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/44,3%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/43,1%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 xml:space="preserve">Проведение практических работ, предусмотренных программой 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6/3,6%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/34,1%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/62,2%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Осуществление дифференцированного подхода к обучению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17/10,1%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/34,7%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/54,5%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Развитие у обучающихся интереса к предмету, повышение мотивации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/41,9%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/50,3%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603231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603231">
              <w:rPr>
                <w:rFonts w:ascii="Times New Roman" w:hAnsi="Times New Roman"/>
                <w:sz w:val="20"/>
                <w:szCs w:val="20"/>
              </w:rPr>
              <w:t xml:space="preserve"> связей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7/4,2%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/43,1%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/52%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Описание своего опыта работы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F757EF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39/23,3%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/39,5%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/37,1%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Умение провести анализ урока коллеги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F757EF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23/13,7%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/43,7%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/42,5%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Обеспечение разумной дисциплины на уроке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9/5,4%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/22,1%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/72,4%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Учет, оценка знаний, умений и навыков учащихся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/26,9%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/65,2%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Выявление типичных причин неуспеваемости обучающихся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10/6%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/34,1%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/59,2%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Организация внеклассной работы по учебному предмету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F757EF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11/6,5%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/25,7%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/67%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Эффективное использование оснащения кабинета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2/1,2%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/34,7%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/61%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Работа с неуспевающими обучающимися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/38,3%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/53,3%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Работа с одаренными детьми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F757EF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14/8,3%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/55%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Организация индивидуального сопровождения обучающихся, составление ИОМ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F757EF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10/5,6%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F757EF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34/20,3%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/43,1%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/30,5%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Диагностика уровня обученности учащихся</w:t>
            </w:r>
            <w:r w:rsidRPr="006032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6/3,6%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/40,1%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/56,2%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Составление программы по учебному предмету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/40,7%</w:t>
            </w:r>
          </w:p>
        </w:tc>
        <w:tc>
          <w:tcPr>
            <w:tcW w:w="1134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/51,5%</w:t>
            </w:r>
          </w:p>
        </w:tc>
      </w:tr>
      <w:tr w:rsidR="00335B6E" w:rsidRPr="00603231" w:rsidTr="000E38A1">
        <w:trPr>
          <w:trHeight w:val="279"/>
        </w:trPr>
        <w:tc>
          <w:tcPr>
            <w:tcW w:w="6238" w:type="dxa"/>
          </w:tcPr>
          <w:p w:rsidR="00335B6E" w:rsidRPr="00603231" w:rsidRDefault="00335B6E" w:rsidP="000E3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231">
              <w:rPr>
                <w:rFonts w:ascii="Times New Roman" w:hAnsi="Times New Roman"/>
                <w:sz w:val="20"/>
                <w:szCs w:val="20"/>
              </w:rPr>
              <w:t>Организация научно-исследовательской деятельности с учащимися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6/3,6%</w:t>
            </w:r>
          </w:p>
        </w:tc>
        <w:tc>
          <w:tcPr>
            <w:tcW w:w="992" w:type="dxa"/>
          </w:tcPr>
          <w:p w:rsidR="00335B6E" w:rsidRPr="0060323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/58,6%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23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/37,7%</w:t>
            </w:r>
          </w:p>
        </w:tc>
      </w:tr>
    </w:tbl>
    <w:p w:rsidR="00335B6E" w:rsidRPr="00335B6E" w:rsidRDefault="00335B6E" w:rsidP="00335B6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B6E">
        <w:rPr>
          <w:rFonts w:ascii="Times New Roman" w:hAnsi="Times New Roman" w:cs="Times New Roman"/>
          <w:i/>
          <w:sz w:val="28"/>
          <w:szCs w:val="28"/>
        </w:rPr>
        <w:t>Наибольшие затруднения (имеется явная степень затруднения) при организации воспитательного процесса возникают у педагогов по следующим пунктам: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Планирование воспитательной работы – 6 чел./3,7%;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lastRenderedPageBreak/>
        <w:t>Умение поставить цель и задачи в воспитательной работе – 11 чел./6,5%;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 w:cs="Times New Roman"/>
          <w:b/>
          <w:i/>
          <w:sz w:val="28"/>
          <w:szCs w:val="28"/>
        </w:rPr>
        <w:t>Знание современных воспитательных технологий – 16 чел./19,1%;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 w:cs="Times New Roman"/>
          <w:b/>
          <w:i/>
          <w:sz w:val="28"/>
          <w:szCs w:val="28"/>
        </w:rPr>
        <w:t>Введение инновационных форм воспитательной работы – 29 чел./17,3%;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Использование современных воспитательных технологий – 31 чел./18,5%;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Знание детской возрастной психологии – 5 чел./2,9%;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Работа с «трудными» обучающимися – 8 чел./4,8%;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hAnsi="Times New Roman" w:cs="Times New Roman"/>
          <w:b/>
          <w:i/>
          <w:sz w:val="28"/>
          <w:szCs w:val="28"/>
        </w:rPr>
        <w:t>Работа с родителями обучающихся – 15 чел./8,9%;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родительских собраний, лекториев - </w:t>
      </w:r>
      <w:r w:rsidRPr="00335B6E">
        <w:rPr>
          <w:rFonts w:ascii="Times New Roman" w:hAnsi="Times New Roman" w:cs="Times New Roman"/>
          <w:sz w:val="28"/>
          <w:szCs w:val="28"/>
        </w:rPr>
        <w:t>5 чел./2,9%;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Индивидуальная работа с обучающимися -7 чел./4,1%;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эффективных форм работы с детьми – 4 чел./2,4%;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детей для участия в общественной жизни школы -12 чел. /7,1%;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воспитательной работы классного руководителя -</w:t>
      </w:r>
      <w:r w:rsidRPr="00335B6E">
        <w:rPr>
          <w:rFonts w:ascii="Times New Roman" w:hAnsi="Times New Roman" w:cs="Times New Roman"/>
          <w:b/>
          <w:i/>
          <w:sz w:val="28"/>
          <w:szCs w:val="28"/>
        </w:rPr>
        <w:t>11 чел./6,5%;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Диагностика уровня воспитанности учащихся - 14 чел./8,3%;</w:t>
      </w:r>
    </w:p>
    <w:p w:rsidR="00335B6E" w:rsidRPr="00335B6E" w:rsidRDefault="00335B6E" w:rsidP="00335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воспитательной программы -</w:t>
      </w:r>
      <w:r w:rsidRPr="00335B6E">
        <w:rPr>
          <w:rFonts w:ascii="Times New Roman" w:hAnsi="Times New Roman" w:cs="Times New Roman"/>
          <w:b/>
          <w:i/>
          <w:sz w:val="28"/>
          <w:szCs w:val="28"/>
        </w:rPr>
        <w:t xml:space="preserve">15 чел./8,9%. </w:t>
      </w:r>
    </w:p>
    <w:p w:rsidR="00335B6E" w:rsidRPr="00C54164" w:rsidRDefault="00335B6E" w:rsidP="00335B6E">
      <w:pPr>
        <w:pStyle w:val="a5"/>
        <w:spacing w:after="0" w:line="240" w:lineRule="auto"/>
        <w:ind w:left="7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B6E" w:rsidRPr="00C54164" w:rsidRDefault="00335B6E" w:rsidP="00335B6E">
      <w:pPr>
        <w:pStyle w:val="a5"/>
        <w:spacing w:after="0" w:line="240" w:lineRule="auto"/>
        <w:ind w:left="76"/>
        <w:jc w:val="right"/>
        <w:rPr>
          <w:rFonts w:ascii="Times New Roman" w:hAnsi="Times New Roman" w:cs="Times New Roman"/>
          <w:sz w:val="24"/>
          <w:szCs w:val="24"/>
        </w:rPr>
      </w:pPr>
      <w:r w:rsidRPr="00C54164">
        <w:rPr>
          <w:rFonts w:ascii="Times New Roman" w:hAnsi="Times New Roman" w:cs="Times New Roman"/>
          <w:sz w:val="24"/>
          <w:szCs w:val="24"/>
        </w:rPr>
        <w:t>Таблица 2. «Затруднения педагогов при осуществлении воспитательного процесса»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1134"/>
        <w:gridCol w:w="1134"/>
        <w:gridCol w:w="1276"/>
      </w:tblGrid>
      <w:tr w:rsidR="00335B6E" w:rsidRPr="00BF7582" w:rsidTr="000E38A1">
        <w:trPr>
          <w:trHeight w:val="266"/>
        </w:trPr>
        <w:tc>
          <w:tcPr>
            <w:tcW w:w="5954" w:type="dxa"/>
            <w:vMerge w:val="restart"/>
          </w:tcPr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7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</w:t>
            </w:r>
            <w:r w:rsidRPr="00C97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питательный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A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процесс</w:t>
            </w: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4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Степень затруднения </w:t>
            </w:r>
          </w:p>
        </w:tc>
      </w:tr>
      <w:tr w:rsidR="00335B6E" w:rsidRPr="00BF7582" w:rsidTr="000E38A1">
        <w:trPr>
          <w:cantSplit/>
          <w:trHeight w:val="1134"/>
        </w:trPr>
        <w:tc>
          <w:tcPr>
            <w:tcW w:w="5954" w:type="dxa"/>
            <w:vMerge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Очень сильная </w:t>
            </w:r>
          </w:p>
        </w:tc>
        <w:tc>
          <w:tcPr>
            <w:tcW w:w="1134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Сильная степень </w:t>
            </w:r>
          </w:p>
        </w:tc>
        <w:tc>
          <w:tcPr>
            <w:tcW w:w="1134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степень</w:t>
            </w:r>
          </w:p>
        </w:tc>
        <w:tc>
          <w:tcPr>
            <w:tcW w:w="1276" w:type="dxa"/>
            <w:textDirection w:val="btLr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ind w:left="142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затруднений </w:t>
            </w:r>
          </w:p>
        </w:tc>
      </w:tr>
      <w:tr w:rsidR="00335B6E" w:rsidRPr="00BF7582" w:rsidTr="000E38A1">
        <w:trPr>
          <w:trHeight w:val="263"/>
        </w:trPr>
        <w:tc>
          <w:tcPr>
            <w:tcW w:w="5954" w:type="dxa"/>
          </w:tcPr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воспитательной работы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1134" w:type="dxa"/>
          </w:tcPr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70/41,9%</w:t>
            </w:r>
          </w:p>
        </w:tc>
        <w:tc>
          <w:tcPr>
            <w:tcW w:w="1276" w:type="dxa"/>
          </w:tcPr>
          <w:p w:rsidR="00335B6E" w:rsidRPr="00BF7582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91/54,5%</w:t>
            </w:r>
          </w:p>
        </w:tc>
      </w:tr>
      <w:tr w:rsidR="00335B6E" w:rsidRPr="00BF7582" w:rsidTr="000E38A1">
        <w:trPr>
          <w:trHeight w:val="253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поставить цель и задачи в воспитательной работе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10/6%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62/37,1%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94/56,2%</w:t>
            </w:r>
          </w:p>
        </w:tc>
      </w:tr>
      <w:tr w:rsidR="00335B6E" w:rsidRPr="00BF7582" w:rsidTr="000E38A1">
        <w:trPr>
          <w:trHeight w:val="285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современных воспитательных технологий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3/1,8%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100/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51/30,5%</w:t>
            </w:r>
          </w:p>
        </w:tc>
      </w:tr>
      <w:tr w:rsidR="00335B6E" w:rsidRPr="00BF7582" w:rsidTr="000E38A1">
        <w:trPr>
          <w:trHeight w:val="133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инновационных форм воспитательной работы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28/16,7%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111/66,4%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27/16,1%</w:t>
            </w:r>
          </w:p>
        </w:tc>
      </w:tr>
      <w:tr w:rsidR="00335B6E" w:rsidRPr="00BF7582" w:rsidTr="000E38A1">
        <w:trPr>
          <w:trHeight w:val="151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воспитательных технологий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4/2,4%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27/16,1%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97/58%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39/23,3%</w:t>
            </w:r>
          </w:p>
        </w:tc>
      </w:tr>
      <w:tr w:rsidR="00335B6E" w:rsidRPr="00BF7582" w:rsidTr="000E38A1">
        <w:trPr>
          <w:trHeight w:val="311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детской возрастной психологии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76/45,5%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86/51,5%</w:t>
            </w:r>
          </w:p>
        </w:tc>
      </w:tr>
      <w:tr w:rsidR="00335B6E" w:rsidRPr="00BF7582" w:rsidTr="000E38A1">
        <w:trPr>
          <w:trHeight w:val="273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"трудными" обучающимися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7/4,2%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77/46,1%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82/49,1%</w:t>
            </w:r>
          </w:p>
        </w:tc>
      </w:tr>
      <w:tr w:rsidR="00335B6E" w:rsidRPr="00BF7582" w:rsidTr="000E38A1">
        <w:trPr>
          <w:trHeight w:val="266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учащихся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2/1,2%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65/38,9%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87/52%</w:t>
            </w:r>
          </w:p>
        </w:tc>
      </w:tr>
      <w:tr w:rsidR="00335B6E" w:rsidRPr="00BF7582" w:rsidTr="000E38A1">
        <w:trPr>
          <w:trHeight w:val="139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родительских собраний, лекториев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5/2,9%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51/30,5%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111/66,4%</w:t>
            </w:r>
          </w:p>
        </w:tc>
      </w:tr>
      <w:tr w:rsidR="00335B6E" w:rsidRPr="00BF7582" w:rsidTr="000E38A1">
        <w:trPr>
          <w:trHeight w:val="266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учащимися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6/3,6%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57/34,1%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103/61,6%</w:t>
            </w:r>
          </w:p>
        </w:tc>
      </w:tr>
      <w:tr w:rsidR="00335B6E" w:rsidRPr="00BF7582" w:rsidTr="000E38A1">
        <w:trPr>
          <w:trHeight w:val="250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</w:t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2/1,2%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32/19,1%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133/79,6%</w:t>
            </w:r>
          </w:p>
        </w:tc>
      </w:tr>
      <w:tr w:rsidR="00335B6E" w:rsidRPr="00BF7582" w:rsidTr="000E38A1">
        <w:trPr>
          <w:trHeight w:val="193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эффективных форм работы с детьми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3/1,8%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83/49,7%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80/47,9%</w:t>
            </w:r>
          </w:p>
        </w:tc>
      </w:tr>
      <w:tr w:rsidR="00335B6E" w:rsidRPr="00BF7582" w:rsidTr="000E38A1">
        <w:trPr>
          <w:trHeight w:val="70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детей для участия в общественной жизни школы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1/0,6%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11/6,5%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71/42,5%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84/50,3%</w:t>
            </w:r>
          </w:p>
        </w:tc>
      </w:tr>
      <w:tr w:rsidR="00335B6E" w:rsidRPr="00BF7582" w:rsidTr="000E38A1">
        <w:trPr>
          <w:trHeight w:val="229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воспитательной работы классного руководителя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4/2,4%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7/4,2%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80/47,9%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76/45,8%</w:t>
            </w:r>
          </w:p>
        </w:tc>
      </w:tr>
      <w:tr w:rsidR="00335B6E" w:rsidRPr="00BF7582" w:rsidTr="000E38A1">
        <w:trPr>
          <w:trHeight w:val="247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уровня воспитанности учащихся</w:t>
            </w: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14/8,3%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65/38,9%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88/52,7%</w:t>
            </w:r>
          </w:p>
        </w:tc>
      </w:tr>
      <w:tr w:rsidR="00335B6E" w:rsidRPr="00BF7582" w:rsidTr="000E38A1">
        <w:trPr>
          <w:trHeight w:val="279"/>
        </w:trPr>
        <w:tc>
          <w:tcPr>
            <w:tcW w:w="595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воспитательной программы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2/1,2%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13/7,7%</w:t>
            </w:r>
          </w:p>
        </w:tc>
        <w:tc>
          <w:tcPr>
            <w:tcW w:w="1134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88/52,7%</w:t>
            </w:r>
          </w:p>
        </w:tc>
        <w:tc>
          <w:tcPr>
            <w:tcW w:w="1276" w:type="dxa"/>
          </w:tcPr>
          <w:p w:rsidR="00335B6E" w:rsidRPr="00C97A11" w:rsidRDefault="00335B6E" w:rsidP="000E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582">
              <w:rPr>
                <w:rFonts w:ascii="Times New Roman" w:eastAsia="Times New Roman" w:hAnsi="Times New Roman" w:cs="Times New Roman"/>
                <w:sz w:val="20"/>
                <w:szCs w:val="20"/>
              </w:rPr>
              <w:t>64/38,3%</w:t>
            </w:r>
          </w:p>
        </w:tc>
      </w:tr>
    </w:tbl>
    <w:p w:rsidR="00335B6E" w:rsidRDefault="00335B6E" w:rsidP="00335B6E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B6E" w:rsidRPr="00335B6E" w:rsidRDefault="00335B6E" w:rsidP="00335B6E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Таким образом, можно сделать вывод, что</w:t>
      </w:r>
      <w:r w:rsidRPr="00335B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5B6E">
        <w:rPr>
          <w:rFonts w:ascii="Times New Roman" w:hAnsi="Times New Roman" w:cs="Times New Roman"/>
          <w:sz w:val="28"/>
          <w:szCs w:val="28"/>
        </w:rPr>
        <w:t>в своей педагогической деятельности педагоги испытывают значительные затруднения как при организации учебного процесса, так и при осуществлении воспитательного процесса. Наиболее проблемными аспектами являются: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умение провести самоанализ урока;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описание своего опыта работы;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развитие у обучающихся интереса к предмету, повышение мотивации;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умение провести анализ урока коллеги;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р</w:t>
      </w:r>
      <w:r w:rsidRPr="00335B6E">
        <w:rPr>
          <w:rFonts w:ascii="Times New Roman" w:hAnsi="Times New Roman" w:cs="Times New Roman"/>
          <w:sz w:val="28"/>
          <w:szCs w:val="28"/>
        </w:rPr>
        <w:t>абота с неуспевающими учащимися;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овладение содержанием новых программ и учебников;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осуществление дифференцированного подхода к обучению;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lastRenderedPageBreak/>
        <w:t>организация индивидуального сопровождения обучающихся, составление ИОМ;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/>
          <w:sz w:val="28"/>
          <w:szCs w:val="28"/>
        </w:rPr>
        <w:t>составление программы по учебному предмету;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знание современных воспитательных технологий;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введение инновационных форм воспитательной работы;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воспитательных технологий;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hAnsi="Times New Roman" w:cs="Times New Roman"/>
          <w:sz w:val="28"/>
          <w:szCs w:val="28"/>
        </w:rPr>
        <w:t>работа с родителями обучающихся;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классного руководителя;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воспитанности учащихся;</w:t>
      </w:r>
    </w:p>
    <w:p w:rsidR="00335B6E" w:rsidRPr="00335B6E" w:rsidRDefault="00335B6E" w:rsidP="00335B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воспитательной программы;</w:t>
      </w:r>
    </w:p>
    <w:p w:rsidR="00335B6E" w:rsidRPr="0077155B" w:rsidRDefault="00335B6E" w:rsidP="004807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детской возрастной психологии.</w:t>
      </w:r>
    </w:p>
    <w:p w:rsidR="003D7E9F" w:rsidRPr="003D7E9F" w:rsidRDefault="00335B6E" w:rsidP="00771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Исходя, из анализа</w:t>
      </w:r>
      <w:r w:rsidR="003E43C2" w:rsidRPr="003E43C2">
        <w:t xml:space="preserve"> </w:t>
      </w:r>
      <w:r w:rsidR="003E43C2" w:rsidRPr="003E43C2">
        <w:rPr>
          <w:rFonts w:ascii="Times New Roman" w:hAnsi="Times New Roman" w:cs="Times New Roman"/>
          <w:sz w:val="28"/>
          <w:szCs w:val="28"/>
        </w:rPr>
        <w:t>состояния качества образования школ, показывающие низкие результаты обучения и школ, функционирующих в неблагоприятных социальных условиях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 н</w:t>
      </w:r>
      <w:r w:rsidR="003D7E9F" w:rsidRPr="003D7E9F">
        <w:rPr>
          <w:rFonts w:ascii="Times New Roman" w:hAnsi="Times New Roman" w:cs="Times New Roman"/>
          <w:sz w:val="28"/>
          <w:szCs w:val="28"/>
        </w:rPr>
        <w:t xml:space="preserve">изкие результаты этих школ обусловлены рядом причин: 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 xml:space="preserve">- нерациональное использование часов вариативной части учебного плана ОУ; 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-вынужденное внутреннее совместительство педагогов малокомплектных школ;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- недостаточное использование административных и управленческих ресурсов при реализации системы мотивации, направленной на прямую заинтересованность учителей в результатах своего труда;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- невысокое качество организации и проведения внутришкольного контроля и промежуточной аттестации;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- не сформирована целостная система мониторинга и статистики, проводимые мониторинговые исследования разрознены, не всегда последовательны;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- недостаточная вовлеченность обучающихся в воспитательные мероприятия, направленные на повышение положительной мотивации обучающихся к учебной деятельности;</w:t>
      </w:r>
    </w:p>
    <w:p w:rsidR="003D7E9F" w:rsidRPr="003D7E9F" w:rsidRDefault="003D7E9F" w:rsidP="004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- слабое использование индивидуальных маршрутов, обеспечивающих успешность достижения образовательных результатов.</w:t>
      </w:r>
    </w:p>
    <w:p w:rsidR="005A24E1" w:rsidRDefault="003D7E9F" w:rsidP="00771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9F">
        <w:rPr>
          <w:rFonts w:ascii="Times New Roman" w:hAnsi="Times New Roman" w:cs="Times New Roman"/>
          <w:sz w:val="28"/>
          <w:szCs w:val="28"/>
        </w:rPr>
        <w:t>С целью совершенствования системы управления качеством образования, обеспечения участников образовательных отношений объективной и достоверной информацией о состоянии системы образов</w:t>
      </w:r>
      <w:r w:rsidR="004807CC">
        <w:rPr>
          <w:rFonts w:ascii="Times New Roman" w:hAnsi="Times New Roman" w:cs="Times New Roman"/>
          <w:sz w:val="28"/>
          <w:szCs w:val="28"/>
        </w:rPr>
        <w:t xml:space="preserve">ания, тенденциях её  развития  </w:t>
      </w:r>
      <w:r w:rsidRPr="003D7E9F">
        <w:rPr>
          <w:rFonts w:ascii="Times New Roman" w:hAnsi="Times New Roman" w:cs="Times New Roman"/>
          <w:sz w:val="28"/>
          <w:szCs w:val="28"/>
        </w:rPr>
        <w:t>разработан проект</w:t>
      </w:r>
      <w:r w:rsidR="004807CC">
        <w:rPr>
          <w:rFonts w:ascii="Times New Roman" w:hAnsi="Times New Roman" w:cs="Times New Roman"/>
          <w:sz w:val="28"/>
          <w:szCs w:val="28"/>
        </w:rPr>
        <w:t xml:space="preserve"> муниципальной программы «Поддержки школ с низкими результатами обучения и школ, функционирующих в неблагоприятных социальных условиях»</w:t>
      </w:r>
      <w:r w:rsidRPr="003D7E9F">
        <w:rPr>
          <w:rFonts w:ascii="Times New Roman" w:hAnsi="Times New Roman" w:cs="Times New Roman"/>
          <w:sz w:val="28"/>
          <w:szCs w:val="28"/>
        </w:rPr>
        <w:t xml:space="preserve">, который позволит выявлять и определять динамику развития муниципальной системы образования, общеобразовательных организаций, оценивать эффективность их деятельности и прогнозировать развитие с учетом социально-экономических приоритетов, через реализацию </w:t>
      </w:r>
      <w:r w:rsidR="004807CC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3D7E9F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5A24E1" w:rsidRPr="006E3D80" w:rsidRDefault="005A24E1" w:rsidP="005A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3D80">
        <w:rPr>
          <w:rFonts w:ascii="Times New Roman" w:hAnsi="Times New Roman" w:cs="Times New Roman"/>
          <w:sz w:val="28"/>
          <w:szCs w:val="28"/>
        </w:rPr>
        <w:t>рамках</w:t>
      </w:r>
      <w:r w:rsidR="006E3D80" w:rsidRPr="006E3D8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6E3D80">
        <w:rPr>
          <w:rFonts w:ascii="Times New Roman" w:hAnsi="Times New Roman" w:cs="Times New Roman"/>
          <w:sz w:val="28"/>
          <w:szCs w:val="28"/>
        </w:rPr>
        <w:t xml:space="preserve"> </w:t>
      </w:r>
      <w:r w:rsidR="006E3D80" w:rsidRPr="006E3D80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«Современные подходы к формированию программы </w:t>
      </w:r>
      <w:r w:rsidR="00376131">
        <w:rPr>
          <w:rFonts w:ascii="Times New Roman" w:hAnsi="Times New Roman" w:cs="Times New Roman"/>
          <w:sz w:val="28"/>
          <w:szCs w:val="28"/>
        </w:rPr>
        <w:t>повышения качества образования»</w:t>
      </w:r>
      <w:r w:rsidR="006E3D80" w:rsidRPr="006E3D80">
        <w:rPr>
          <w:rFonts w:ascii="Times New Roman" w:hAnsi="Times New Roman" w:cs="Times New Roman"/>
          <w:sz w:val="28"/>
          <w:szCs w:val="28"/>
        </w:rPr>
        <w:t xml:space="preserve"> </w:t>
      </w:r>
      <w:r w:rsidRPr="006E3D80">
        <w:rPr>
          <w:rFonts w:ascii="Times New Roman" w:hAnsi="Times New Roman" w:cs="Times New Roman"/>
          <w:sz w:val="28"/>
          <w:szCs w:val="28"/>
        </w:rPr>
        <w:t>4 июня 2020 года на базе опорной площадки МОУ «</w:t>
      </w:r>
      <w:proofErr w:type="spellStart"/>
      <w:r w:rsidRPr="006E3D80">
        <w:rPr>
          <w:rFonts w:ascii="Times New Roman" w:hAnsi="Times New Roman" w:cs="Times New Roman"/>
          <w:sz w:val="28"/>
          <w:szCs w:val="28"/>
        </w:rPr>
        <w:t>Котикская</w:t>
      </w:r>
      <w:proofErr w:type="spellEnd"/>
      <w:r w:rsidRPr="006E3D80">
        <w:rPr>
          <w:rFonts w:ascii="Times New Roman" w:hAnsi="Times New Roman" w:cs="Times New Roman"/>
          <w:sz w:val="28"/>
          <w:szCs w:val="28"/>
        </w:rPr>
        <w:t xml:space="preserve"> СОШ» прошла стажировочная практика по теме «Индивидуальный образовательный маршрут как способ развития системы учебной деятельности». </w:t>
      </w:r>
    </w:p>
    <w:p w:rsidR="005A24E1" w:rsidRPr="006E3D80" w:rsidRDefault="005A24E1" w:rsidP="005A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80">
        <w:rPr>
          <w:rFonts w:ascii="Times New Roman" w:hAnsi="Times New Roman" w:cs="Times New Roman"/>
          <w:sz w:val="28"/>
          <w:szCs w:val="28"/>
        </w:rPr>
        <w:t>В мероприятии принимали участие 4 группы:</w:t>
      </w:r>
    </w:p>
    <w:p w:rsidR="005A24E1" w:rsidRPr="006678F0" w:rsidRDefault="005A24E1" w:rsidP="005A2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D80">
        <w:rPr>
          <w:rFonts w:ascii="Times New Roman" w:hAnsi="Times New Roman" w:cs="Times New Roman"/>
          <w:sz w:val="28"/>
          <w:szCs w:val="28"/>
        </w:rPr>
        <w:t xml:space="preserve">1 группа – «СОШ №2 </w:t>
      </w:r>
      <w:proofErr w:type="spellStart"/>
      <w:r w:rsidRPr="006E3D80">
        <w:rPr>
          <w:rFonts w:ascii="Times New Roman" w:hAnsi="Times New Roman" w:cs="Times New Roman"/>
          <w:sz w:val="28"/>
          <w:szCs w:val="28"/>
        </w:rPr>
        <w:t>г.Свирска</w:t>
      </w:r>
      <w:proofErr w:type="spellEnd"/>
      <w:r w:rsidRPr="006E3D80">
        <w:rPr>
          <w:rFonts w:ascii="Times New Roman" w:hAnsi="Times New Roman" w:cs="Times New Roman"/>
          <w:sz w:val="28"/>
          <w:szCs w:val="28"/>
        </w:rPr>
        <w:t>»</w:t>
      </w:r>
    </w:p>
    <w:p w:rsidR="005A24E1" w:rsidRPr="006678F0" w:rsidRDefault="005A24E1" w:rsidP="005A2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8F0">
        <w:rPr>
          <w:rFonts w:ascii="Times New Roman" w:hAnsi="Times New Roman" w:cs="Times New Roman"/>
          <w:sz w:val="28"/>
          <w:szCs w:val="28"/>
        </w:rPr>
        <w:lastRenderedPageBreak/>
        <w:t>2 группа – МБОУ «</w:t>
      </w:r>
      <w:proofErr w:type="spellStart"/>
      <w:r w:rsidRPr="006678F0">
        <w:rPr>
          <w:rFonts w:ascii="Times New Roman" w:hAnsi="Times New Roman" w:cs="Times New Roman"/>
          <w:sz w:val="28"/>
          <w:szCs w:val="28"/>
        </w:rPr>
        <w:t>Шарагайская</w:t>
      </w:r>
      <w:proofErr w:type="spellEnd"/>
      <w:r w:rsidRPr="006678F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A24E1" w:rsidRPr="006678F0" w:rsidRDefault="005A24E1" w:rsidP="005A2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8F0">
        <w:rPr>
          <w:rFonts w:ascii="Times New Roman" w:hAnsi="Times New Roman" w:cs="Times New Roman"/>
          <w:sz w:val="28"/>
          <w:szCs w:val="28"/>
        </w:rPr>
        <w:t xml:space="preserve">3 группа – МКОУ СОШ с. Верхний </w:t>
      </w:r>
      <w:proofErr w:type="spellStart"/>
      <w:r w:rsidRPr="006678F0">
        <w:rPr>
          <w:rFonts w:ascii="Times New Roman" w:hAnsi="Times New Roman" w:cs="Times New Roman"/>
          <w:sz w:val="28"/>
          <w:szCs w:val="28"/>
        </w:rPr>
        <w:t>Булай</w:t>
      </w:r>
      <w:proofErr w:type="spellEnd"/>
    </w:p>
    <w:p w:rsidR="005A24E1" w:rsidRDefault="005A24E1" w:rsidP="005A2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678F0">
        <w:rPr>
          <w:rFonts w:ascii="Times New Roman" w:hAnsi="Times New Roman" w:cs="Times New Roman"/>
          <w:sz w:val="28"/>
          <w:szCs w:val="28"/>
        </w:rPr>
        <w:t>группа школ Тулунского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(МОУ «Афанасьевская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«Икейская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5A24E1" w:rsidRDefault="005A24E1" w:rsidP="005A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мероприятии приняли участие 86 педагогов. </w:t>
      </w:r>
    </w:p>
    <w:p w:rsidR="005A24E1" w:rsidRDefault="005A24E1" w:rsidP="005A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7E8">
        <w:rPr>
          <w:rFonts w:ascii="Times New Roman" w:hAnsi="Times New Roman" w:cs="Times New Roman"/>
          <w:sz w:val="28"/>
          <w:szCs w:val="28"/>
        </w:rPr>
        <w:t>Главной целью мероприятия являлось повышение уровня профессиональной компетентности педагогических работников при решении задач по повышению качества образования через организацию индивидуального сопровождения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1" w:rsidRDefault="005A24E1" w:rsidP="005A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DD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>
        <w:rPr>
          <w:rFonts w:ascii="Times New Roman" w:hAnsi="Times New Roman" w:cs="Times New Roman"/>
          <w:sz w:val="28"/>
          <w:szCs w:val="28"/>
        </w:rPr>
        <w:t>стажировки</w:t>
      </w:r>
      <w:r w:rsidRPr="000572DD">
        <w:rPr>
          <w:rFonts w:ascii="Times New Roman" w:hAnsi="Times New Roman" w:cs="Times New Roman"/>
          <w:sz w:val="28"/>
          <w:szCs w:val="28"/>
        </w:rPr>
        <w:t xml:space="preserve"> была обозначена в выступлении директора школы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Котикская</w:t>
      </w:r>
      <w:proofErr w:type="spellEnd"/>
      <w:r w:rsidRPr="000572D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 </w:t>
      </w:r>
    </w:p>
    <w:p w:rsidR="005A24E1" w:rsidRDefault="005A24E1" w:rsidP="005A24E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72D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>стажировочная практика проходила в дистанционном режиме. Входе работы были раскрыты следующие вопросы:</w:t>
      </w:r>
    </w:p>
    <w:p w:rsidR="005A24E1" w:rsidRPr="00F5724D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 xml:space="preserve">Круглый стол «Маршрут или траектория полета» - заместитель директора по ВР </w:t>
      </w:r>
      <w:proofErr w:type="spellStart"/>
      <w:r w:rsidRPr="00F5724D">
        <w:rPr>
          <w:rFonts w:ascii="Times New Roman" w:hAnsi="Times New Roman" w:cs="Times New Roman"/>
          <w:sz w:val="28"/>
          <w:szCs w:val="28"/>
        </w:rPr>
        <w:t>Зенчик</w:t>
      </w:r>
      <w:proofErr w:type="spellEnd"/>
      <w:r w:rsidRPr="00F5724D">
        <w:rPr>
          <w:rFonts w:ascii="Times New Roman" w:hAnsi="Times New Roman" w:cs="Times New Roman"/>
          <w:sz w:val="28"/>
          <w:szCs w:val="28"/>
        </w:rPr>
        <w:t xml:space="preserve"> И.В.;</w:t>
      </w:r>
    </w:p>
    <w:p w:rsidR="005A24E1" w:rsidRPr="00F5724D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 xml:space="preserve">Мастер-класс «Индивидуальная образовательная траектория учителя как инновационная модель его профессионального развития» - учитель информатики, </w:t>
      </w:r>
      <w:proofErr w:type="spellStart"/>
      <w:r w:rsidRPr="00F5724D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F5724D">
        <w:rPr>
          <w:rFonts w:ascii="Times New Roman" w:hAnsi="Times New Roman" w:cs="Times New Roman"/>
          <w:sz w:val="28"/>
          <w:szCs w:val="28"/>
        </w:rPr>
        <w:t xml:space="preserve"> И.Ю.;</w:t>
      </w:r>
    </w:p>
    <w:p w:rsidR="005A24E1" w:rsidRPr="00F5724D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>Презентация «Специфика построения ИОТ с одаренными детьми через исследовательскую работу школьников»</w:t>
      </w:r>
      <w:r w:rsidRPr="000572DD">
        <w:t xml:space="preserve"> </w:t>
      </w:r>
      <w:r>
        <w:t xml:space="preserve">- </w:t>
      </w:r>
      <w:r w:rsidRPr="00F5724D">
        <w:rPr>
          <w:rFonts w:ascii="Times New Roman" w:hAnsi="Times New Roman" w:cs="Times New Roman"/>
          <w:sz w:val="28"/>
          <w:szCs w:val="28"/>
        </w:rPr>
        <w:t>учитель истории и обществознания, Лисовая О.А., учитель начальных классов Муромская А.С.;</w:t>
      </w:r>
    </w:p>
    <w:p w:rsidR="005A24E1" w:rsidRPr="00F5724D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>Презентация опыта «Сопровождение низко мотивированных и слабоуспевающих обучающихся, через систему коррекционных занятий» - педагог-психолог, Ковалева С.О.;</w:t>
      </w:r>
    </w:p>
    <w:p w:rsidR="005A24E1" w:rsidRPr="00F5724D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>Мастер-класс</w:t>
      </w:r>
      <w:r w:rsidRPr="000572DD">
        <w:t xml:space="preserve"> </w:t>
      </w:r>
      <w:r>
        <w:t>«</w:t>
      </w:r>
      <w:r w:rsidRPr="00F5724D">
        <w:rPr>
          <w:rFonts w:ascii="Times New Roman" w:hAnsi="Times New Roman" w:cs="Times New Roman"/>
          <w:sz w:val="28"/>
          <w:szCs w:val="28"/>
        </w:rPr>
        <w:t xml:space="preserve">Механизмы оценки метапредметных и предметных результатов» - учитель начальных классов, </w:t>
      </w:r>
      <w:proofErr w:type="spellStart"/>
      <w:r w:rsidRPr="00F5724D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F5724D">
        <w:rPr>
          <w:rFonts w:ascii="Times New Roman" w:hAnsi="Times New Roman" w:cs="Times New Roman"/>
          <w:sz w:val="28"/>
          <w:szCs w:val="28"/>
        </w:rPr>
        <w:t xml:space="preserve"> Н.Н.;</w:t>
      </w:r>
    </w:p>
    <w:p w:rsidR="005A24E1" w:rsidRPr="00F5724D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>Презентация «Преемственность в формировании УУД при реализации требований ФГОС НОО и ООО» - заместитель директора по УВР, Позднякова Е.С.;</w:t>
      </w:r>
    </w:p>
    <w:p w:rsidR="005A24E1" w:rsidRPr="00376131" w:rsidRDefault="005A24E1" w:rsidP="005A24E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24D">
        <w:rPr>
          <w:rFonts w:ascii="Times New Roman" w:hAnsi="Times New Roman" w:cs="Times New Roman"/>
          <w:sz w:val="28"/>
          <w:szCs w:val="28"/>
        </w:rPr>
        <w:t>Медиа-показ</w:t>
      </w:r>
      <w:r w:rsidRPr="00F5724D">
        <w:t xml:space="preserve"> </w:t>
      </w:r>
      <w:r>
        <w:t>«</w:t>
      </w:r>
      <w:r w:rsidRPr="00F5724D">
        <w:rPr>
          <w:rFonts w:ascii="Times New Roman" w:hAnsi="Times New Roman" w:cs="Times New Roman"/>
          <w:sz w:val="28"/>
          <w:szCs w:val="28"/>
        </w:rPr>
        <w:t xml:space="preserve">ИОМ как эффективное средство при подготовке обучающихся к ГИА и ВПР» - заместитель директора по ВР, учитель русского языка, </w:t>
      </w:r>
      <w:proofErr w:type="spellStart"/>
      <w:r w:rsidRPr="00F5724D">
        <w:rPr>
          <w:rFonts w:ascii="Times New Roman" w:hAnsi="Times New Roman" w:cs="Times New Roman"/>
          <w:sz w:val="28"/>
          <w:szCs w:val="28"/>
        </w:rPr>
        <w:t>Зенчик</w:t>
      </w:r>
      <w:proofErr w:type="spellEnd"/>
      <w:r w:rsidRPr="00F5724D">
        <w:rPr>
          <w:rFonts w:ascii="Times New Roman" w:hAnsi="Times New Roman" w:cs="Times New Roman"/>
          <w:sz w:val="28"/>
          <w:szCs w:val="28"/>
        </w:rPr>
        <w:t xml:space="preserve"> И.В., учитель математики Сереброва Н.А., учитель начальных классов Московских Н.В.</w:t>
      </w:r>
    </w:p>
    <w:p w:rsidR="005A24E1" w:rsidRDefault="00376131" w:rsidP="005A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2020 года прошла защита итоговых работ «П</w:t>
      </w:r>
      <w:r w:rsidR="004807CC">
        <w:rPr>
          <w:rFonts w:ascii="Times New Roman" w:hAnsi="Times New Roman" w:cs="Times New Roman"/>
          <w:sz w:val="28"/>
          <w:szCs w:val="28"/>
        </w:rPr>
        <w:t>роект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поддержки школ с низк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ими результатами обучения и школ, функционирующих в неблагоприятных социальных условиях». Он отражает региональные и территориальные особенности района. Проект программы позволяет увидеть </w:t>
      </w:r>
      <w:r w:rsidRPr="00376131">
        <w:rPr>
          <w:rFonts w:ascii="Times New Roman" w:hAnsi="Times New Roman" w:cs="Times New Roman"/>
          <w:sz w:val="28"/>
          <w:szCs w:val="28"/>
        </w:rPr>
        <w:t>стратегическую значимость своей деятельности и выстраивать работу в определенном, выбранном для каждого участника процессе, направлении, как на уровне школы, так и на уровне муниципалитета.</w:t>
      </w:r>
    </w:p>
    <w:p w:rsidR="00133CDC" w:rsidRPr="00133CDC" w:rsidRDefault="00133CDC" w:rsidP="00133CD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3CDC">
        <w:rPr>
          <w:rFonts w:ascii="Times New Roman" w:hAnsi="Times New Roman" w:cs="Times New Roman"/>
          <w:sz w:val="24"/>
          <w:szCs w:val="24"/>
        </w:rPr>
        <w:t>Исполнитель: аналитик –методист 1 категории Ильинец О.А.</w:t>
      </w:r>
    </w:p>
    <w:p w:rsidR="005A24E1" w:rsidRPr="003D7E9F" w:rsidRDefault="005A2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24E1" w:rsidRPr="003D7E9F" w:rsidSect="003D7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31D2"/>
    <w:multiLevelType w:val="hybridMultilevel"/>
    <w:tmpl w:val="F782F014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2A20C0F"/>
    <w:multiLevelType w:val="hybridMultilevel"/>
    <w:tmpl w:val="94D0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00F7"/>
    <w:multiLevelType w:val="hybridMultilevel"/>
    <w:tmpl w:val="64C09F3C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270119A7"/>
    <w:multiLevelType w:val="hybridMultilevel"/>
    <w:tmpl w:val="7FD236D8"/>
    <w:lvl w:ilvl="0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561065F2"/>
    <w:multiLevelType w:val="hybridMultilevel"/>
    <w:tmpl w:val="0E2C2800"/>
    <w:lvl w:ilvl="0" w:tplc="1B84D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715503F"/>
    <w:multiLevelType w:val="hybridMultilevel"/>
    <w:tmpl w:val="4698AB7C"/>
    <w:lvl w:ilvl="0" w:tplc="3E4A0C2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F1"/>
    <w:rsid w:val="00022576"/>
    <w:rsid w:val="00057050"/>
    <w:rsid w:val="00133CDC"/>
    <w:rsid w:val="00335B6E"/>
    <w:rsid w:val="00376131"/>
    <w:rsid w:val="003D7E9F"/>
    <w:rsid w:val="003E43C2"/>
    <w:rsid w:val="004437E8"/>
    <w:rsid w:val="00474C42"/>
    <w:rsid w:val="004807CC"/>
    <w:rsid w:val="005A24E1"/>
    <w:rsid w:val="006678F0"/>
    <w:rsid w:val="006E3D80"/>
    <w:rsid w:val="0077155B"/>
    <w:rsid w:val="00852392"/>
    <w:rsid w:val="00B00903"/>
    <w:rsid w:val="00C87697"/>
    <w:rsid w:val="00CE25BF"/>
    <w:rsid w:val="00CF22C5"/>
    <w:rsid w:val="00E049D0"/>
    <w:rsid w:val="00F35850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137D-C370-4C04-A230-99D91324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2020-08-11T01:47:00Z</dcterms:created>
  <dcterms:modified xsi:type="dcterms:W3CDTF">2020-09-20T03:34:00Z</dcterms:modified>
</cp:coreProperties>
</file>